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PRECIOS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FUNDO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ZAPALLAR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F4A6B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4A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4A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4A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4A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Precio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4A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Manzana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4A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Sitio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4A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4A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4.702,32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13.200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4.228,74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12.700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4.556,26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14.600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4.104,39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14.400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4.389,55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14.900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3.199,81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14.700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4.654,44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13.000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4.654,45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4A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12.600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A6B" w:rsidRPr="003F4A6B" w:rsidTr="003F4A6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6B" w:rsidRPr="003F4A6B" w:rsidRDefault="003F4A6B" w:rsidP="003F4A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02C89" w:rsidRDefault="00C02C89">
      <w:bookmarkStart w:id="0" w:name="_GoBack"/>
      <w:bookmarkEnd w:id="0"/>
    </w:p>
    <w:sectPr w:rsidR="00C02C89" w:rsidSect="00C02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6B"/>
    <w:rsid w:val="003F4A6B"/>
    <w:rsid w:val="00C0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CA3C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parma jofre</dc:creator>
  <cp:keywords/>
  <dc:description/>
  <cp:lastModifiedBy>viviana parma jofre</cp:lastModifiedBy>
  <cp:revision>1</cp:revision>
  <dcterms:created xsi:type="dcterms:W3CDTF">2019-04-01T17:46:00Z</dcterms:created>
  <dcterms:modified xsi:type="dcterms:W3CDTF">2019-04-01T17:46:00Z</dcterms:modified>
</cp:coreProperties>
</file>